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u w:val="single"/>
        </w:rPr>
      </w:pPr>
      <w:r>
        <w:rPr/>
      </w:r>
    </w:p>
    <w:p>
      <w:pPr>
        <w:pStyle w:val="Normal"/>
        <w:bidi w:val="0"/>
        <w:jc w:val="left"/>
        <w:rPr>
          <w:u w:val="single"/>
        </w:rPr>
      </w:pPr>
      <w:r>
        <w:rPr>
          <w:b/>
          <w:bCs/>
          <w:u w:val="single"/>
        </w:rPr>
        <w:t>1) Financieel Verslag 2025 Stichting Studiefonds Sed Vitae</w:t>
      </w:r>
    </w:p>
    <w:p>
      <w:pPr>
        <w:pStyle w:val="Normal"/>
        <w:bidi w:val="0"/>
        <w:jc w:val="left"/>
        <w:rPr>
          <w:u w:val="single"/>
        </w:rPr>
      </w:pPr>
      <w:r>
        <w:rPr>
          <w:u w:val="single"/>
        </w:rPr>
      </w:r>
    </w:p>
    <w:p>
      <w:pPr>
        <w:pStyle w:val="Normal"/>
        <w:bidi w:val="0"/>
        <w:jc w:val="left"/>
        <w:rPr>
          <w:u w:val="none"/>
        </w:rPr>
      </w:pPr>
      <w:r>
        <w:rPr>
          <w:b/>
          <w:bCs/>
          <w:u w:val="single"/>
        </w:rPr>
        <w:t>Winst- en Verliesrekening Boekjaar 2025</w:t>
      </w:r>
      <w:r>
        <w:rPr>
          <w:u w:val="single"/>
        </w:rPr>
        <w:t xml:space="preserve"> </w:t>
      </w:r>
      <w:r>
        <w:rPr>
          <w:b/>
          <w:bCs/>
          <w:u w:val="single"/>
        </w:rPr>
        <w:t xml:space="preserve">(x 1 </w:t>
      </w:r>
      <w:r>
        <w:rPr>
          <w:rFonts w:eastAsia="Liberation Serif" w:cs="Liberation Serif"/>
          <w:b/>
          <w:bCs/>
          <w:u w:val="single"/>
        </w:rPr>
        <w:t>€</w:t>
      </w:r>
      <w:r>
        <w:rPr>
          <w:b/>
          <w:bCs/>
          <w:u w:val="single"/>
        </w:rPr>
        <w:t>)</w:t>
      </w:r>
      <w:r>
        <w:rPr>
          <w:u w:val="single"/>
        </w:rPr>
        <w:t>.</w:t>
      </w:r>
    </w:p>
    <w:p>
      <w:pPr>
        <w:pStyle w:val="Normal"/>
        <w:bidi w:val="0"/>
        <w:jc w:val="left"/>
        <w:rPr>
          <w:u w:val="none"/>
        </w:rPr>
      </w:pPr>
      <w:r>
        <w:rPr>
          <w:u w:val="none"/>
        </w:rPr>
      </w:r>
    </w:p>
    <w:p>
      <w:pPr>
        <w:pStyle w:val="Normal"/>
        <w:bidi w:val="0"/>
        <w:jc w:val="left"/>
        <w:rPr>
          <w:b/>
          <w:b/>
          <w:bCs/>
          <w:u w:val="none"/>
        </w:rPr>
      </w:pPr>
      <w:r>
        <w:rPr>
          <w:b/>
          <w:bCs/>
          <w:u w:val="none"/>
        </w:rPr>
        <w:t>Inkomstem</w:t>
        <w:tab/>
        <w:tab/>
        <w:t xml:space="preserve">                          </w:t>
        <w:tab/>
        <w:t xml:space="preserve"> </w:t>
      </w:r>
      <w:r>
        <w:rPr>
          <w:b/>
          <w:bCs/>
          <w:u w:val="single"/>
        </w:rPr>
        <w:t>2025</w:t>
      </w:r>
      <w:r>
        <w:rPr>
          <w:b/>
          <w:bCs/>
          <w:u w:val="none"/>
        </w:rPr>
        <w:tab/>
        <w:tab/>
        <w:t xml:space="preserve"> </w:t>
      </w:r>
      <w:r>
        <w:rPr>
          <w:b/>
          <w:bCs/>
          <w:u w:val="single"/>
        </w:rPr>
        <w:t>2024</w:t>
      </w:r>
      <w:r>
        <w:rPr>
          <w:b/>
          <w:bCs/>
          <w:u w:val="none"/>
        </w:rPr>
        <w:t xml:space="preserve">    </w:t>
        <w:tab/>
        <w:tab/>
        <w:t xml:space="preserve"> </w:t>
        <w:tab/>
      </w:r>
    </w:p>
    <w:p>
      <w:pPr>
        <w:pStyle w:val="Normal"/>
        <w:bidi w:val="0"/>
        <w:jc w:val="left"/>
        <w:rPr>
          <w:b/>
          <w:b/>
          <w:bCs/>
          <w:u w:val="none"/>
        </w:rPr>
      </w:pPr>
      <w:r>
        <w:rPr>
          <w:b w:val="false"/>
          <w:bCs w:val="false"/>
          <w:u w:val="none"/>
        </w:rPr>
        <w:t>Rente-inkomsten</w:t>
        <w:tab/>
        <w:tab/>
        <w:tab/>
        <w:t xml:space="preserve">  </w:t>
        <w:tab/>
        <w:t xml:space="preserve"> 292,97</w:t>
        <w:tab/>
        <w:t xml:space="preserve"> 26,34</w:t>
        <w:tab/>
        <w:tab/>
        <w:tab/>
        <w:tab/>
        <w:tab/>
      </w:r>
    </w:p>
    <w:p>
      <w:pPr>
        <w:pStyle w:val="Normal"/>
        <w:bidi w:val="0"/>
        <w:jc w:val="left"/>
        <w:rPr>
          <w:b w:val="false"/>
          <w:b w:val="false"/>
          <w:bCs w:val="false"/>
          <w:u w:val="none"/>
        </w:rPr>
      </w:pPr>
      <w:r>
        <w:rPr>
          <w:b w:val="false"/>
          <w:bCs w:val="false"/>
          <w:u w:val="none"/>
        </w:rPr>
        <w:t>Donatie Vereniging Sed Vitae</w:t>
        <w:tab/>
        <w:t xml:space="preserve">    </w:t>
        <w:tab/>
        <w:t xml:space="preserve"> 310,-</w:t>
        <w:tab/>
        <w:tab/>
        <w:t>280,00</w:t>
        <w:tab/>
        <w:tab/>
        <w:tab/>
        <w:tab/>
        <w:tab/>
        <w:tab/>
      </w:r>
    </w:p>
    <w:p>
      <w:pPr>
        <w:pStyle w:val="Normal"/>
        <w:bidi w:val="0"/>
        <w:jc w:val="left"/>
        <w:rPr>
          <w:b w:val="false"/>
          <w:b w:val="false"/>
          <w:bCs w:val="false"/>
          <w:u w:val="none"/>
        </w:rPr>
      </w:pPr>
      <w:r>
        <w:rPr>
          <w:b w:val="false"/>
          <w:bCs w:val="false"/>
          <w:u w:val="none"/>
        </w:rPr>
        <w:tab/>
        <w:tab/>
        <w:tab/>
        <w:tab/>
        <w:tab/>
        <w:t xml:space="preserve">    </w:t>
        <w:tab/>
        <w:t>--------</w:t>
        <w:tab/>
        <w:tab/>
        <w:t>--------</w:t>
        <w:tab/>
        <w:tab/>
        <w:tab/>
      </w:r>
    </w:p>
    <w:p>
      <w:pPr>
        <w:pStyle w:val="Normal"/>
        <w:bidi w:val="0"/>
        <w:jc w:val="left"/>
        <w:rPr>
          <w:b w:val="false"/>
          <w:b w:val="false"/>
          <w:bCs w:val="false"/>
          <w:u w:val="none"/>
        </w:rPr>
      </w:pPr>
      <w:r>
        <w:rPr>
          <w:b/>
          <w:bCs/>
          <w:u w:val="none"/>
        </w:rPr>
        <w:t>Totaal Inkomsten</w:t>
      </w:r>
      <w:r>
        <w:rPr>
          <w:b w:val="false"/>
          <w:bCs w:val="false"/>
          <w:u w:val="none"/>
        </w:rPr>
        <w:tab/>
        <w:tab/>
        <w:tab/>
        <w:t xml:space="preserve">   </w:t>
        <w:tab/>
        <w:t xml:space="preserve"> 602,97</w:t>
        <w:tab/>
        <w:t>306,34</w:t>
        <w:tab/>
        <w:tab/>
        <w:tab/>
        <w:tab/>
        <w:tab/>
      </w:r>
    </w:p>
    <w:p>
      <w:pPr>
        <w:pStyle w:val="Normal"/>
        <w:bidi w:val="0"/>
        <w:jc w:val="left"/>
        <w:rPr>
          <w:b w:val="false"/>
          <w:b w:val="false"/>
          <w:bCs w:val="false"/>
          <w:u w:val="none"/>
        </w:rPr>
      </w:pPr>
      <w:r>
        <w:rPr>
          <w:b w:val="false"/>
          <w:bCs w:val="false"/>
          <w:u w:val="none"/>
        </w:rPr>
      </w:r>
    </w:p>
    <w:p>
      <w:pPr>
        <w:pStyle w:val="Normal"/>
        <w:bidi w:val="0"/>
        <w:jc w:val="left"/>
        <w:rPr>
          <w:b w:val="false"/>
          <w:b w:val="false"/>
          <w:bCs w:val="false"/>
          <w:u w:val="none"/>
        </w:rPr>
      </w:pPr>
      <w:r>
        <w:rPr>
          <w:b/>
          <w:bCs/>
          <w:u w:val="none"/>
        </w:rPr>
        <w:t>Uitgaven</w:t>
      </w:r>
    </w:p>
    <w:p>
      <w:pPr>
        <w:pStyle w:val="Normal"/>
        <w:bidi w:val="0"/>
        <w:jc w:val="left"/>
        <w:rPr>
          <w:b w:val="false"/>
          <w:b w:val="false"/>
          <w:bCs w:val="false"/>
          <w:u w:val="none"/>
        </w:rPr>
      </w:pPr>
      <w:r>
        <w:rPr>
          <w:b w:val="false"/>
          <w:bCs w:val="false"/>
          <w:u w:val="none"/>
        </w:rPr>
        <w:t>Kamer van Koophandel</w:t>
        <w:tab/>
        <w:tab/>
        <w:tab/>
        <w:t xml:space="preserve">      0,00   </w:t>
        <w:tab/>
        <w:t xml:space="preserve">       0,00</w:t>
        <w:tab/>
        <w:tab/>
        <w:tab/>
      </w:r>
    </w:p>
    <w:p>
      <w:pPr>
        <w:pStyle w:val="Normal"/>
        <w:bidi w:val="0"/>
        <w:jc w:val="left"/>
        <w:rPr>
          <w:b w:val="false"/>
          <w:b w:val="false"/>
          <w:bCs w:val="false"/>
          <w:u w:val="none"/>
        </w:rPr>
      </w:pPr>
      <w:r>
        <w:rPr>
          <w:b w:val="false"/>
          <w:bCs w:val="false"/>
          <w:u w:val="none"/>
        </w:rPr>
        <w:t>Tegemoetkoming cursisten</w:t>
        <w:tab/>
        <w:tab/>
        <w:tab/>
        <w:t>2.246,75</w:t>
        <w:tab/>
        <w:t>1.906,-</w:t>
        <w:tab/>
        <w:tab/>
        <w:tab/>
      </w:r>
    </w:p>
    <w:p>
      <w:pPr>
        <w:pStyle w:val="Normal"/>
        <w:bidi w:val="0"/>
        <w:jc w:val="left"/>
        <w:rPr>
          <w:b w:val="false"/>
          <w:b w:val="false"/>
          <w:bCs w:val="false"/>
          <w:u w:val="none"/>
        </w:rPr>
      </w:pPr>
      <w:r>
        <w:rPr>
          <w:b w:val="false"/>
          <w:bCs w:val="false"/>
          <w:u w:val="none"/>
        </w:rPr>
        <w:t>Kosten Bank (incl. overige kosten)</w:t>
        <w:tab/>
        <w:tab/>
        <w:t xml:space="preserve">   290,76</w:t>
        <w:tab/>
        <w:t xml:space="preserve">   276,68</w:t>
        <w:tab/>
        <w:tab/>
        <w:tab/>
      </w:r>
    </w:p>
    <w:p>
      <w:pPr>
        <w:pStyle w:val="Normal"/>
        <w:bidi w:val="0"/>
        <w:jc w:val="left"/>
        <w:rPr>
          <w:b w:val="false"/>
          <w:b w:val="false"/>
          <w:bCs w:val="false"/>
          <w:u w:val="none"/>
        </w:rPr>
      </w:pPr>
      <w:r>
        <w:rPr>
          <w:b w:val="false"/>
          <w:bCs w:val="false"/>
          <w:u w:val="none"/>
        </w:rPr>
        <w:tab/>
        <w:tab/>
        <w:tab/>
        <w:tab/>
        <w:tab/>
        <w:tab/>
        <w:t>-------------</w:t>
        <w:tab/>
        <w:t>-----------</w:t>
        <w:tab/>
        <w:tab/>
      </w:r>
    </w:p>
    <w:p>
      <w:pPr>
        <w:pStyle w:val="Normal"/>
        <w:bidi w:val="0"/>
        <w:jc w:val="left"/>
        <w:rPr>
          <w:b w:val="false"/>
          <w:b w:val="false"/>
          <w:bCs w:val="false"/>
          <w:u w:val="none"/>
        </w:rPr>
      </w:pPr>
      <w:r>
        <w:rPr>
          <w:b/>
          <w:bCs/>
          <w:u w:val="none"/>
        </w:rPr>
        <w:t>Totaal Uitgaven</w:t>
      </w:r>
      <w:r>
        <w:rPr>
          <w:b w:val="false"/>
          <w:bCs w:val="false"/>
          <w:u w:val="none"/>
        </w:rPr>
        <w:tab/>
        <w:tab/>
        <w:tab/>
        <w:tab/>
        <w:t>2.537,51</w:t>
        <w:tab/>
        <w:t>2.182,68</w:t>
        <w:tab/>
        <w:tab/>
      </w:r>
    </w:p>
    <w:p>
      <w:pPr>
        <w:pStyle w:val="Normal"/>
        <w:bidi w:val="0"/>
        <w:jc w:val="left"/>
        <w:rPr>
          <w:b w:val="false"/>
          <w:b w:val="false"/>
          <w:bCs w:val="false"/>
          <w:u w:val="none"/>
        </w:rPr>
      </w:pPr>
      <w:r>
        <w:rPr>
          <w:b w:val="false"/>
          <w:bCs w:val="false"/>
          <w:u w:val="none"/>
        </w:rPr>
      </w:r>
    </w:p>
    <w:p>
      <w:pPr>
        <w:pStyle w:val="Normal"/>
        <w:bidi w:val="0"/>
        <w:jc w:val="left"/>
        <w:rPr>
          <w:b w:val="false"/>
          <w:b w:val="false"/>
          <w:bCs w:val="false"/>
          <w:u w:val="none"/>
        </w:rPr>
      </w:pPr>
      <w:r>
        <w:rPr>
          <w:b/>
          <w:bCs/>
          <w:u w:val="none"/>
        </w:rPr>
        <w:t>Saldo W/V-rekening 2024 (verlies)</w:t>
        <w:tab/>
        <w:t xml:space="preserve">         </w:t>
        <w:tab/>
        <w:t>-1.934,54</w:t>
        <w:tab/>
        <w:t>-1.876,34</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bCs/>
          <w:i w:val="false"/>
          <w:iCs w:val="false"/>
          <w:u w:val="single"/>
        </w:rPr>
        <w:t xml:space="preserve">Balans per 31-12-2025 (x 1 </w:t>
      </w:r>
      <w:r>
        <w:rPr>
          <w:rFonts w:eastAsia="Liberation Serif" w:cs="Liberation Serif"/>
          <w:b/>
          <w:bCs/>
          <w:i w:val="false"/>
          <w:iCs w:val="false"/>
          <w:u w:val="single"/>
        </w:rPr>
        <w:t>€</w:t>
      </w:r>
      <w:r>
        <w:rPr>
          <w:b/>
          <w:bCs/>
          <w:i w:val="false"/>
          <w:iCs w:val="false"/>
          <w:u w:val="single"/>
        </w:rPr>
        <w:t>).</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bCs/>
          <w:i w:val="false"/>
          <w:iCs w:val="false"/>
          <w:u w:val="none"/>
        </w:rPr>
        <w:t>ING Zakelijke rekening</w:t>
      </w:r>
      <w:r>
        <w:rPr>
          <w:b w:val="false"/>
          <w:bCs w:val="false"/>
          <w:i w:val="false"/>
          <w:iCs w:val="false"/>
          <w:u w:val="none"/>
        </w:rPr>
        <w:tab/>
        <w:tab/>
        <w:t xml:space="preserve">    </w:t>
      </w:r>
      <w:r>
        <w:rPr>
          <w:b/>
          <w:bCs/>
          <w:i w:val="false"/>
          <w:iCs w:val="false"/>
          <w:u w:val="none"/>
        </w:rPr>
        <w:t xml:space="preserve"> 452,54</w:t>
        <w:tab/>
        <w:tab/>
        <w:t>Kapitaal per 1-1-2025*: 19.114,81</w:t>
      </w:r>
    </w:p>
    <w:p>
      <w:pPr>
        <w:pStyle w:val="Normal"/>
        <w:bidi w:val="0"/>
        <w:jc w:val="left"/>
        <w:rPr>
          <w:b w:val="false"/>
          <w:b w:val="false"/>
          <w:bCs w:val="false"/>
        </w:rPr>
      </w:pPr>
      <w:r>
        <w:rPr>
          <w:b/>
          <w:bCs/>
          <w:i w:val="false"/>
          <w:iCs w:val="false"/>
          <w:u w:val="none"/>
        </w:rPr>
        <w:t>ING Spaarrekening</w:t>
        <w:tab/>
        <w:tab/>
        <w:tab/>
        <w:t>16.727,73</w:t>
        <w:tab/>
      </w:r>
      <w:r>
        <w:rPr>
          <w:b w:val="false"/>
          <w:bCs w:val="false"/>
          <w:i w:val="false"/>
          <w:iCs w:val="false"/>
          <w:u w:val="none"/>
        </w:rPr>
        <w:tab/>
      </w:r>
      <w:r>
        <w:rPr>
          <w:b/>
          <w:bCs/>
          <w:i w:val="false"/>
          <w:iCs w:val="false"/>
          <w:u w:val="none"/>
        </w:rPr>
        <w:t>Saldo 2025 (verlies):       -1.934,54</w:t>
      </w:r>
    </w:p>
    <w:p>
      <w:pPr>
        <w:pStyle w:val="Normal"/>
        <w:bidi w:val="0"/>
        <w:jc w:val="left"/>
        <w:rPr>
          <w:b w:val="false"/>
          <w:b w:val="false"/>
          <w:bCs w:val="false"/>
        </w:rPr>
      </w:pPr>
      <w:r>
        <w:rPr>
          <w:b w:val="false"/>
          <w:bCs w:val="false"/>
          <w:i w:val="false"/>
          <w:iCs w:val="false"/>
          <w:u w:val="none"/>
        </w:rPr>
        <w:tab/>
        <w:tab/>
        <w:tab/>
        <w:tab/>
        <w:tab/>
        <w:t>------------</w:t>
        <w:tab/>
        <w:tab/>
        <w:tab/>
        <w:tab/>
        <w:tab/>
        <w:t xml:space="preserve">     ------------</w:t>
      </w:r>
    </w:p>
    <w:p>
      <w:pPr>
        <w:pStyle w:val="Normal"/>
        <w:bidi w:val="0"/>
        <w:jc w:val="left"/>
        <w:rPr>
          <w:b w:val="false"/>
          <w:b w:val="false"/>
          <w:bCs w:val="false"/>
        </w:rPr>
      </w:pPr>
      <w:r>
        <w:rPr>
          <w:b/>
          <w:bCs/>
          <w:i w:val="false"/>
          <w:iCs w:val="false"/>
          <w:u w:val="none"/>
        </w:rPr>
        <w:t>Balanstotaal</w:t>
        <w:tab/>
        <w:tab/>
        <w:tab/>
        <w:tab/>
        <w:t>17.180,27</w:t>
        <w:tab/>
        <w:tab/>
        <w:t>Kapitaal 31-12-2024:      17.180,27</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 xml:space="preserve">Kapitaal per 1-1-2025*: ING Zakelijke rekening </w:t>
      </w:r>
      <w:r>
        <w:rPr>
          <w:rFonts w:eastAsia="Liberation Serif" w:cs="Liberation Serif"/>
          <w:b w:val="false"/>
          <w:bCs w:val="false"/>
          <w:i w:val="false"/>
          <w:iCs w:val="false"/>
          <w:u w:val="none"/>
        </w:rPr>
        <w:t>€530,05</w:t>
      </w:r>
      <w:r>
        <w:rPr>
          <w:b w:val="false"/>
          <w:bCs w:val="false"/>
          <w:i w:val="false"/>
          <w:iCs w:val="false"/>
          <w:u w:val="none"/>
        </w:rPr>
        <w:t xml:space="preserve">; ING Spaarrekening: </w:t>
      </w:r>
      <w:r>
        <w:rPr>
          <w:rFonts w:eastAsia="Liberation Serif" w:cs="Liberation Serif"/>
          <w:b w:val="false"/>
          <w:bCs w:val="false"/>
          <w:i w:val="false"/>
          <w:iCs w:val="false"/>
          <w:u w:val="none"/>
        </w:rPr>
        <w:t>€18.584,76</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bCs/>
          <w:i w:val="false"/>
          <w:iCs w:val="false"/>
          <w:u w:val="none"/>
        </w:rPr>
        <w:t>2) Jaarverslag 2025 Stichting Studiefonds Sed Vitae</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Het Bestuur is aan het einde van het verslagjaar 2025 als volgt samengesteld:</w:t>
      </w:r>
    </w:p>
    <w:p>
      <w:pPr>
        <w:pStyle w:val="Normal"/>
        <w:bidi w:val="0"/>
        <w:jc w:val="left"/>
        <w:rPr>
          <w:b w:val="false"/>
          <w:b w:val="false"/>
          <w:bCs w:val="false"/>
        </w:rPr>
      </w:pPr>
      <w:r>
        <w:rPr>
          <w:b w:val="false"/>
          <w:bCs w:val="false"/>
          <w:i w:val="false"/>
          <w:iCs w:val="false"/>
          <w:u w:val="none"/>
        </w:rPr>
        <w:t xml:space="preserve">– </w:t>
      </w:r>
      <w:r>
        <w:rPr>
          <w:b w:val="false"/>
          <w:bCs w:val="false"/>
          <w:i w:val="false"/>
          <w:iCs w:val="false"/>
          <w:u w:val="none"/>
        </w:rPr>
        <w:t>Voorzitter:  Kees Rijgersberg</w:t>
      </w:r>
    </w:p>
    <w:p>
      <w:pPr>
        <w:pStyle w:val="Normal"/>
        <w:bidi w:val="0"/>
        <w:jc w:val="left"/>
        <w:rPr>
          <w:b w:val="false"/>
          <w:b w:val="false"/>
          <w:bCs w:val="false"/>
        </w:rPr>
      </w:pPr>
      <w:r>
        <w:rPr>
          <w:b w:val="false"/>
          <w:bCs w:val="false"/>
          <w:i w:val="false"/>
          <w:iCs w:val="false"/>
          <w:u w:val="none"/>
        </w:rPr>
        <w:t xml:space="preserve">– </w:t>
      </w:r>
      <w:r>
        <w:rPr>
          <w:b w:val="false"/>
          <w:bCs w:val="false"/>
          <w:i w:val="false"/>
          <w:iCs w:val="false"/>
          <w:u w:val="none"/>
        </w:rPr>
        <w:t>Secretaris/Penningmeester: Peter van den Oetelaar</w:t>
      </w:r>
    </w:p>
    <w:p>
      <w:pPr>
        <w:pStyle w:val="Normal"/>
        <w:bidi w:val="0"/>
        <w:jc w:val="left"/>
        <w:rPr>
          <w:b w:val="false"/>
          <w:b w:val="false"/>
          <w:bCs w:val="false"/>
        </w:rPr>
      </w:pPr>
      <w:r>
        <w:rPr>
          <w:b w:val="false"/>
          <w:bCs w:val="false"/>
          <w:i w:val="false"/>
          <w:iCs w:val="false"/>
          <w:u w:val="none"/>
        </w:rPr>
        <w:t xml:space="preserve">– </w:t>
      </w:r>
      <w:r>
        <w:rPr>
          <w:b w:val="false"/>
          <w:bCs w:val="false"/>
          <w:i w:val="false"/>
          <w:iCs w:val="false"/>
          <w:u w:val="none"/>
        </w:rPr>
        <w:t>Lid: Jac Verheijen</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 xml:space="preserve">Op 13 maart 2025 heeft de Bestuursvergadering van het Studiefonds Sed Vitae plaatsgevonden te Tilburg, waar goedkeuring is verleend voor de financiële stukken over het boekjaar 2024 en decharge is verleend aan de Penningmeester voor de uitvoering van het gevoerde financieel beleid.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 xml:space="preserve">De voorwaarden voor tegemoetkoming van studiekosten aan HOVO-cursisten vanaf 2025, is door het Bestuur vastgesteld op een maximaal fiscaal verzamelinkomen van </w:t>
      </w:r>
      <w:r>
        <w:rPr>
          <w:rFonts w:eastAsia="Liberation Serif" w:cs="Liberation Serif"/>
          <w:b w:val="false"/>
          <w:bCs w:val="false"/>
          <w:i w:val="false"/>
          <w:iCs w:val="false"/>
          <w:u w:val="none"/>
        </w:rPr>
        <w:t>€</w:t>
      </w:r>
      <w:r>
        <w:rPr>
          <w:b w:val="false"/>
          <w:bCs w:val="false"/>
          <w:i w:val="false"/>
          <w:iCs w:val="false"/>
          <w:u w:val="none"/>
        </w:rPr>
        <w:t xml:space="preserve"> 27.000,-. De tegemoetkoming van 50% is van toepassing op alle cursussen en themadagen van HOVO-Brabant; deze verruimde voorwaarde voldoet aan de voorwaarden zoals gesteld in de Statuten van de Stichting Studiefonds Sed Vitae.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 xml:space="preserve">In het verslagjaar 2025 is aan 23 cursisten een tegemoetkoming verleend voor de kosten van inschrijving bij cursussen/themadagen van HOVO Brabant; in 2024 hebben 18 cursisten een tegemoetkoming ontvangen. In de geschiedenis van het Studiefonds is dit het hoogste aantal tegemoetkomingen binnen een jaar. Deze stijging is ook een gevolg van een toename van het aantal cursisten bij de themadagen van HOVO Brabant. De gemiddelde bijdrage per cursus/themadag is </w:t>
      </w:r>
      <w:r>
        <w:rPr>
          <w:rFonts w:eastAsia="Liberation Serif" w:cs="Liberation Serif"/>
          <w:b w:val="false"/>
          <w:bCs w:val="false"/>
          <w:i w:val="false"/>
          <w:iCs w:val="false"/>
          <w:u w:val="none"/>
        </w:rPr>
        <w:t>€98</w:t>
      </w:r>
      <w:r>
        <w:rPr>
          <w:rFonts w:eastAsia="NSimSun" w:cs="Arial"/>
          <w:b w:val="false"/>
          <w:bCs w:val="false"/>
          <w:i w:val="false"/>
          <w:iCs w:val="false"/>
          <w:u w:val="none"/>
        </w:rPr>
        <w:t>,- in 2025, en was</w:t>
      </w:r>
      <w:r>
        <w:rPr>
          <w:b w:val="false"/>
          <w:bCs w:val="false"/>
          <w:i w:val="false"/>
          <w:iCs w:val="false"/>
          <w:u w:val="none"/>
        </w:rPr>
        <w:t xml:space="preserve"> </w:t>
      </w:r>
      <w:r>
        <w:rPr>
          <w:rFonts w:eastAsia="Liberation Serif" w:cs="Liberation Serif"/>
          <w:b w:val="false"/>
          <w:bCs w:val="false"/>
          <w:i w:val="false"/>
          <w:iCs w:val="false"/>
          <w:u w:val="none"/>
        </w:rPr>
        <w:t>€</w:t>
      </w:r>
      <w:r>
        <w:rPr>
          <w:rFonts w:eastAsia="NSimSun" w:cs="Arial"/>
          <w:b w:val="false"/>
          <w:bCs w:val="false"/>
          <w:i w:val="false"/>
          <w:iCs w:val="false"/>
          <w:u w:val="none"/>
        </w:rPr>
        <w:t>106,- in 2024.</w:t>
      </w:r>
      <w:r>
        <w:rPr>
          <w:b w:val="false"/>
          <w:bCs w:val="false"/>
          <w:i w:val="false"/>
          <w:iCs w:val="false"/>
          <w:u w:val="none"/>
        </w:rPr>
        <w:t xml:space="preserve">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Ter vergelijking, onderstaand een overzicht van het aantal cursisten per jaar, die een bijdragen gekregen hebben, in de afgelopen 10 jaar.</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2025: 23</w:t>
      </w:r>
    </w:p>
    <w:p>
      <w:pPr>
        <w:pStyle w:val="Normal"/>
        <w:bidi w:val="0"/>
        <w:jc w:val="left"/>
        <w:rPr>
          <w:b w:val="false"/>
          <w:b w:val="false"/>
          <w:bCs w:val="false"/>
        </w:rPr>
      </w:pPr>
      <w:r>
        <w:rPr>
          <w:b w:val="false"/>
          <w:bCs w:val="false"/>
          <w:i w:val="false"/>
          <w:iCs w:val="false"/>
          <w:u w:val="none"/>
        </w:rPr>
        <w:t>2024: 18</w:t>
      </w:r>
    </w:p>
    <w:p>
      <w:pPr>
        <w:pStyle w:val="Normal"/>
        <w:bidi w:val="0"/>
        <w:jc w:val="left"/>
        <w:rPr>
          <w:b w:val="false"/>
          <w:b w:val="false"/>
          <w:bCs w:val="false"/>
        </w:rPr>
      </w:pPr>
      <w:r>
        <w:rPr>
          <w:b w:val="false"/>
          <w:bCs w:val="false"/>
          <w:i w:val="false"/>
          <w:iCs w:val="false"/>
          <w:u w:val="none"/>
        </w:rPr>
        <w:t>2023: 13</w:t>
      </w:r>
    </w:p>
    <w:p>
      <w:pPr>
        <w:pStyle w:val="Normal"/>
        <w:bidi w:val="0"/>
        <w:jc w:val="left"/>
        <w:rPr>
          <w:b w:val="false"/>
          <w:b w:val="false"/>
          <w:bCs w:val="false"/>
        </w:rPr>
      </w:pPr>
      <w:r>
        <w:rPr>
          <w:b w:val="false"/>
          <w:bCs w:val="false"/>
          <w:i w:val="false"/>
          <w:iCs w:val="false"/>
          <w:u w:val="none"/>
        </w:rPr>
        <w:t>2022: 10</w:t>
      </w:r>
    </w:p>
    <w:p>
      <w:pPr>
        <w:pStyle w:val="Normal"/>
        <w:bidi w:val="0"/>
        <w:jc w:val="left"/>
        <w:rPr>
          <w:b w:val="false"/>
          <w:b w:val="false"/>
          <w:bCs w:val="false"/>
        </w:rPr>
      </w:pPr>
      <w:r>
        <w:rPr>
          <w:b w:val="false"/>
          <w:bCs w:val="false"/>
          <w:i w:val="false"/>
          <w:iCs w:val="false"/>
          <w:u w:val="none"/>
        </w:rPr>
        <w:t>2021: 3</w:t>
      </w:r>
    </w:p>
    <w:p>
      <w:pPr>
        <w:pStyle w:val="Normal"/>
        <w:bidi w:val="0"/>
        <w:jc w:val="left"/>
        <w:rPr>
          <w:b w:val="false"/>
          <w:b w:val="false"/>
          <w:bCs w:val="false"/>
        </w:rPr>
      </w:pPr>
      <w:r>
        <w:rPr>
          <w:b w:val="false"/>
          <w:bCs w:val="false"/>
          <w:i w:val="false"/>
          <w:iCs w:val="false"/>
          <w:u w:val="none"/>
        </w:rPr>
        <w:t>2020: 3 (per saldo 2)</w:t>
      </w:r>
    </w:p>
    <w:p>
      <w:pPr>
        <w:pStyle w:val="Normal"/>
        <w:bidi w:val="0"/>
        <w:jc w:val="left"/>
        <w:rPr>
          <w:b w:val="false"/>
          <w:b w:val="false"/>
          <w:bCs w:val="false"/>
        </w:rPr>
      </w:pPr>
      <w:r>
        <w:rPr>
          <w:b w:val="false"/>
          <w:bCs w:val="false"/>
          <w:i w:val="false"/>
          <w:iCs w:val="false"/>
          <w:u w:val="none"/>
        </w:rPr>
        <w:t>2019: 10</w:t>
      </w:r>
    </w:p>
    <w:p>
      <w:pPr>
        <w:pStyle w:val="Normal"/>
        <w:bidi w:val="0"/>
        <w:jc w:val="left"/>
        <w:rPr>
          <w:b w:val="false"/>
          <w:b w:val="false"/>
          <w:bCs w:val="false"/>
        </w:rPr>
      </w:pPr>
      <w:r>
        <w:rPr>
          <w:b w:val="false"/>
          <w:bCs w:val="false"/>
          <w:i w:val="false"/>
          <w:iCs w:val="false"/>
          <w:u w:val="none"/>
        </w:rPr>
        <w:t>2018: 6</w:t>
      </w:r>
    </w:p>
    <w:p>
      <w:pPr>
        <w:pStyle w:val="Normal"/>
        <w:bidi w:val="0"/>
        <w:jc w:val="left"/>
        <w:rPr>
          <w:b w:val="false"/>
          <w:b w:val="false"/>
          <w:bCs w:val="false"/>
        </w:rPr>
      </w:pPr>
      <w:r>
        <w:rPr>
          <w:b w:val="false"/>
          <w:bCs w:val="false"/>
          <w:i w:val="false"/>
          <w:iCs w:val="false"/>
          <w:u w:val="none"/>
        </w:rPr>
        <w:t>2017: 7</w:t>
      </w:r>
    </w:p>
    <w:p>
      <w:pPr>
        <w:pStyle w:val="Normal"/>
        <w:bidi w:val="0"/>
        <w:jc w:val="left"/>
        <w:rPr>
          <w:b w:val="false"/>
          <w:b w:val="false"/>
          <w:bCs w:val="false"/>
        </w:rPr>
      </w:pPr>
      <w:r>
        <w:rPr>
          <w:b w:val="false"/>
          <w:bCs w:val="false"/>
          <w:i w:val="false"/>
          <w:iCs w:val="false"/>
          <w:u w:val="none"/>
        </w:rPr>
        <w:t>2016: 10</w:t>
      </w:r>
    </w:p>
    <w:p>
      <w:pPr>
        <w:pStyle w:val="Normal"/>
        <w:bidi w:val="0"/>
        <w:jc w:val="left"/>
        <w:rPr>
          <w:b w:val="false"/>
          <w:b w:val="false"/>
          <w:bCs w:val="false"/>
        </w:rPr>
      </w:pPr>
      <w:r>
        <w:rPr>
          <w:b w:val="false"/>
          <w:bCs w:val="false"/>
          <w:i w:val="false"/>
          <w:iCs w:val="false"/>
          <w:u w:val="none"/>
        </w:rPr>
        <w:t>2015: 10</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rFonts w:eastAsia="NSimSun" w:cs="Arial"/>
          <w:b w:val="false"/>
          <w:bCs w:val="false"/>
          <w:i w:val="false"/>
          <w:iCs w:val="false"/>
          <w:u w:val="none"/>
        </w:rPr>
        <w:t xml:space="preserve">Het totale kapitaal van de Stichting per 31 december 2025, conform het totaal van beide rekeningen van de Stichting bij ING Bank, bedraagt </w:t>
      </w:r>
      <w:r>
        <w:rPr>
          <w:rFonts w:eastAsia="Liberation Serif" w:cs="Liberation Serif"/>
          <w:b w:val="false"/>
          <w:bCs w:val="false"/>
          <w:i w:val="false"/>
          <w:iCs w:val="false"/>
          <w:u w:val="none"/>
        </w:rPr>
        <w:t>€</w:t>
      </w:r>
      <w:r>
        <w:rPr>
          <w:rFonts w:eastAsia="NSimSun" w:cs="Arial"/>
          <w:b w:val="false"/>
          <w:bCs w:val="false"/>
          <w:i w:val="false"/>
          <w:iCs w:val="false"/>
          <w:u w:val="none"/>
        </w:rPr>
        <w:t xml:space="preserve"> 17.180,27; het verschil (verlies) tussen uitgaven en inkomsten over 2025 bedraagt -</w:t>
      </w:r>
      <w:r>
        <w:rPr>
          <w:rFonts w:eastAsia="Liberation Serif" w:cs="Liberation Serif"/>
          <w:b w:val="false"/>
          <w:bCs w:val="false"/>
          <w:i w:val="false"/>
          <w:iCs w:val="false"/>
          <w:u w:val="none"/>
        </w:rPr>
        <w:t xml:space="preserve">€ 1.934,54 en is hoger dan in 2024. In 2025 </w:t>
      </w:r>
      <w:r>
        <w:rPr>
          <w:rFonts w:eastAsia="NSimSun" w:cs="Arial"/>
          <w:b w:val="false"/>
          <w:bCs w:val="false"/>
          <w:i w:val="false"/>
          <w:iCs w:val="false"/>
          <w:u w:val="none"/>
        </w:rPr>
        <w:t>ontving het Studiefonds</w:t>
      </w:r>
      <w:r>
        <w:rPr>
          <w:rFonts w:eastAsia="NSimSun" w:cs="Arial"/>
          <w:b w:val="false"/>
          <w:bCs w:val="false"/>
        </w:rPr>
        <w:t xml:space="preserve"> aan donaties van leden van Sed Vitae, </w:t>
      </w:r>
      <w:r>
        <w:rPr>
          <w:rFonts w:eastAsia="Liberation Serif" w:cs="Liberation Serif"/>
          <w:b w:val="false"/>
          <w:bCs w:val="false"/>
        </w:rPr>
        <w:t>€310</w:t>
      </w:r>
      <w:r>
        <w:rPr>
          <w:rFonts w:eastAsia="NSimSun" w:cs="Arial"/>
          <w:b w:val="false"/>
          <w:bCs w:val="false"/>
        </w:rPr>
        <w:t xml:space="preserve">,-; dit bedrag is </w:t>
      </w:r>
      <w:r>
        <w:rPr>
          <w:rFonts w:eastAsia="Liberation Serif" w:cs="Liberation Serif"/>
          <w:b w:val="false"/>
          <w:bCs w:val="false"/>
        </w:rPr>
        <w:t>€30 hoger</w:t>
      </w:r>
      <w:r>
        <w:rPr>
          <w:rFonts w:eastAsia="NSimSun" w:cs="Arial"/>
          <w:b w:val="false"/>
          <w:bCs w:val="false"/>
        </w:rPr>
        <w:t xml:space="preserve"> dan in 2024. In dit boekjaar zijn rente-vergoedingen ontvangen van ING over onze tegoeden; deze ontvangsten waren </w:t>
      </w:r>
      <w:r>
        <w:rPr>
          <w:rFonts w:eastAsia="Liberation Serif" w:cs="Liberation Serif"/>
          <w:b w:val="false"/>
          <w:bCs w:val="false"/>
        </w:rPr>
        <w:t>€</w:t>
      </w:r>
      <w:r>
        <w:rPr>
          <w:rFonts w:eastAsia="NSimSun" w:cs="Arial"/>
          <w:b w:val="false"/>
          <w:bCs w:val="false"/>
        </w:rPr>
        <w:t xml:space="preserve">124 hoger dan in 2024 vanwege een gemiddeld hogere rentevoet gedurende het hele jaar. De bankkosten zijn dit jaar iets gestegen, vanwege meer overboekingen. </w:t>
      </w:r>
    </w:p>
    <w:p>
      <w:pPr>
        <w:pStyle w:val="Normal"/>
        <w:bidi w:val="0"/>
        <w:jc w:val="left"/>
        <w:rPr>
          <w:b w:val="false"/>
          <w:b w:val="false"/>
          <w:bCs w:val="false"/>
        </w:rPr>
      </w:pPr>
      <w:r>
        <w:rPr>
          <w:rFonts w:eastAsia="NSimSun" w:cs="Arial"/>
          <w:b w:val="false"/>
          <w:bCs w:val="false"/>
          <w:i w:val="false"/>
          <w:iCs w:val="false"/>
          <w:u w:val="none"/>
        </w:rPr>
        <w:t xml:space="preserve">Alle ons bekende kosten/schulden en inkomsten/vorderingen over het boekjaar 2025 zijn in het financieel jaarverslag 2025 van de Stichting Studiefonds Sed Vitae verantwoord. </w:t>
      </w:r>
    </w:p>
    <w:p>
      <w:pPr>
        <w:pStyle w:val="Normal"/>
        <w:bidi w:val="0"/>
        <w:jc w:val="left"/>
        <w:rPr>
          <w:b w:val="false"/>
          <w:b w:val="false"/>
          <w:bCs w:val="false"/>
        </w:rPr>
      </w:pPr>
      <w:r>
        <w:rPr>
          <w:rFonts w:eastAsia="NSimSun" w:cs="Arial"/>
          <w:b w:val="false"/>
          <w:bCs w:val="false"/>
          <w:i w:val="false"/>
          <w:iCs w:val="false"/>
          <w:u w:val="none"/>
        </w:rPr>
        <w:t xml:space="preserve">Met het oog op de continuïteit van de Stichting op de lange termijn, is het Bestuur gestart om nieuwe mogelijkheden voor sponsoring te onderzoeken, dit vanwege het continue afnemend kapitaal van de Stichting.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 xml:space="preserve">Vanaf 1 januari 2021 is de Stichting Studiefonds Sed Vitae aangemerkt als ANBI. </w:t>
      </w:r>
    </w:p>
    <w:p>
      <w:pPr>
        <w:pStyle w:val="Normal"/>
        <w:bidi w:val="0"/>
        <w:jc w:val="left"/>
        <w:rPr>
          <w:b w:val="false"/>
          <w:b w:val="false"/>
          <w:bCs w:val="false"/>
        </w:rPr>
      </w:pPr>
      <w:r>
        <w:rPr>
          <w:b w:val="false"/>
          <w:bCs w:val="false"/>
        </w:rPr>
        <w:t xml:space="preserve">Op 8 december 2021 is de Stichting Studiefonds Sed Vitae, met KvK-nummer 41098818, opgenomen in het UBO-register; dit register is onderdeel van het Handelsregister.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w:t>
      </w:r>
      <w:r>
        <w:rPr>
          <w:b w:val="false"/>
          <w:bCs w:val="false"/>
          <w:i w:val="false"/>
          <w:iCs w:val="false"/>
          <w:u w:val="none"/>
        </w:rPr>
        <w:t xml:space="preserve">s-Hertogenbosch, </w:t>
      </w:r>
      <w:r>
        <w:rPr>
          <w:b w:val="false"/>
          <w:bCs w:val="false"/>
          <w:i w:val="false"/>
          <w:iCs w:val="false"/>
          <w:u w:val="none"/>
        </w:rPr>
        <w:t>5 maart</w:t>
      </w:r>
      <w:r>
        <w:rPr>
          <w:b w:val="false"/>
          <w:bCs w:val="false"/>
          <w:i w:val="false"/>
          <w:iCs w:val="false"/>
          <w:u w:val="none"/>
        </w:rPr>
        <w:t xml:space="preserve"> 2026</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u w:val="none"/>
        </w:rPr>
        <w:t>P.J.N. van den Oetelaar, Secretaris/Penningmeester SSSV.</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nl-NL"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SimSun" w:cs="Arial"/>
      <w:color w:val="auto"/>
      <w:kern w:val="2"/>
      <w:sz w:val="24"/>
      <w:szCs w:val="24"/>
      <w:lang w:val="nl-NL" w:eastAsia="zh-CN" w:bidi="hi-IN"/>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152</TotalTime>
  <Application>LibreOffice/6.4.1.2$Windows_X86_64 LibreOffice_project/4d224e95b98b138af42a64d84056446d09082932</Application>
  <Pages>2</Pages>
  <Words>557</Words>
  <Characters>3252</Characters>
  <CharactersWithSpaces>3962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2021-01-25T12:49:47Z</dcterms:created>
  <dc:creator/>
  <dc:description/>
  <dc:language>nl-NL</dc:language>
  <cp:lastModifiedBy/>
  <cp:lastPrinted>2026-03-07T20:52:39Z</cp:lastPrinted>
  <dcterms:modified xsi:type="dcterms:W3CDTF">2026-03-07T20:52:06Z</dcterms:modified>
  <cp:revision>40</cp:revision>
  <dc:subject/>
  <dc:title/>
</cp:coreProperties>
</file>